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095" w:rsidRDefault="00342095">
      <w:pPr>
        <w:autoSpaceDE w:val="0"/>
        <w:autoSpaceDN w:val="0"/>
        <w:adjustRightInd w:val="0"/>
        <w:spacing w:after="0" w:line="240" w:lineRule="auto"/>
        <w:jc w:val="both"/>
        <w:rPr>
          <w:rFonts w:ascii="Calibri" w:hAnsi="Calibri" w:cs="Calibri"/>
        </w:rPr>
      </w:pPr>
    </w:p>
    <w:p w:rsidR="00342095" w:rsidRDefault="00342095">
      <w:pPr>
        <w:autoSpaceDE w:val="0"/>
        <w:autoSpaceDN w:val="0"/>
        <w:adjustRightInd w:val="0"/>
        <w:spacing w:after="0" w:line="240" w:lineRule="auto"/>
        <w:jc w:val="both"/>
        <w:outlineLvl w:val="0"/>
        <w:rPr>
          <w:rFonts w:ascii="Calibri" w:hAnsi="Calibri" w:cs="Calibri"/>
        </w:rPr>
      </w:pPr>
      <w:r>
        <w:rPr>
          <w:rFonts w:ascii="Calibri" w:hAnsi="Calibri" w:cs="Calibri"/>
        </w:rPr>
        <w:t>Зарегистрировано в Национальном реестре правовых актов</w:t>
      </w:r>
    </w:p>
    <w:p w:rsidR="00342095" w:rsidRDefault="00342095">
      <w:pPr>
        <w:autoSpaceDE w:val="0"/>
        <w:autoSpaceDN w:val="0"/>
        <w:adjustRightInd w:val="0"/>
        <w:spacing w:after="0" w:line="240" w:lineRule="auto"/>
        <w:jc w:val="both"/>
        <w:rPr>
          <w:rFonts w:ascii="Calibri" w:hAnsi="Calibri" w:cs="Calibri"/>
        </w:rPr>
      </w:pPr>
      <w:r>
        <w:rPr>
          <w:rFonts w:ascii="Calibri" w:hAnsi="Calibri" w:cs="Calibri"/>
        </w:rPr>
        <w:t>Республики Беларусь 8 июня 2010 г. N 5/31986</w:t>
      </w:r>
    </w:p>
    <w:p w:rsidR="00342095" w:rsidRDefault="00342095">
      <w:pPr>
        <w:pStyle w:val="ConsPlusNonformat"/>
        <w:widowControl/>
        <w:pBdr>
          <w:top w:val="single" w:sz="6" w:space="0" w:color="auto"/>
        </w:pBdr>
        <w:rPr>
          <w:sz w:val="2"/>
          <w:szCs w:val="2"/>
        </w:rPr>
      </w:pPr>
    </w:p>
    <w:p w:rsidR="00342095" w:rsidRDefault="00342095">
      <w:pPr>
        <w:autoSpaceDE w:val="0"/>
        <w:autoSpaceDN w:val="0"/>
        <w:adjustRightInd w:val="0"/>
        <w:spacing w:after="0" w:line="240" w:lineRule="auto"/>
        <w:jc w:val="both"/>
        <w:rPr>
          <w:rFonts w:ascii="Calibri" w:hAnsi="Calibri" w:cs="Calibri"/>
        </w:rPr>
      </w:pPr>
    </w:p>
    <w:p w:rsidR="00342095" w:rsidRDefault="00342095">
      <w:pPr>
        <w:pStyle w:val="ConsPlusTitle"/>
        <w:widowControl/>
        <w:jc w:val="center"/>
      </w:pPr>
      <w:r>
        <w:t>ПОСТАНОВЛЕНИЕ СОВЕТА МИНИСТРОВ РЕСПУБЛИКИ БЕЛАРУСЬ</w:t>
      </w:r>
    </w:p>
    <w:p w:rsidR="00342095" w:rsidRDefault="00342095">
      <w:pPr>
        <w:pStyle w:val="ConsPlusTitle"/>
        <w:widowControl/>
        <w:jc w:val="center"/>
      </w:pPr>
      <w:r>
        <w:t>4 июня 2010 г. N 865</w:t>
      </w:r>
    </w:p>
    <w:p w:rsidR="00342095" w:rsidRDefault="00342095">
      <w:pPr>
        <w:pStyle w:val="ConsPlusTitle"/>
        <w:widowControl/>
        <w:jc w:val="center"/>
      </w:pPr>
    </w:p>
    <w:p w:rsidR="00342095" w:rsidRDefault="00342095">
      <w:pPr>
        <w:pStyle w:val="ConsPlusTitle"/>
        <w:widowControl/>
        <w:jc w:val="center"/>
      </w:pPr>
      <w:r>
        <w:t>О ПОЛОЖЕНИИ О ЛИЗИНГЕ</w:t>
      </w:r>
    </w:p>
    <w:p w:rsidR="00342095" w:rsidRDefault="00342095">
      <w:pPr>
        <w:autoSpaceDE w:val="0"/>
        <w:autoSpaceDN w:val="0"/>
        <w:adjustRightInd w:val="0"/>
        <w:spacing w:after="0" w:line="240" w:lineRule="auto"/>
        <w:ind w:firstLine="540"/>
        <w:jc w:val="both"/>
        <w:rPr>
          <w:rFonts w:ascii="Calibri" w:hAnsi="Calibri" w:cs="Calibri"/>
        </w:rPr>
      </w:pP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Во исполнение пункта 2 Указа Президента Республики Беларусь от 1 марта 2010 г. N 104 "О признании утратившими силу некоторых указов Президента Республики Беларусь по вопросам лизинга" Совет Министров Республики Беларусь ПОСТАНОВЛЯЕТ:</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 Утвердить прилагаемое Положение о лизинге.</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2. Признать утратившими силу:</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постановление Совета Министров Республики Беларусь от 31 декабря 1997 г. N 1769 "О лизинге на территории Республики Беларусь" (Собрание декретов, указов Президента и постановлений Правительства Республики Беларусь, 1998 г., N 1, ст. 16);</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постановление Совета Министров Республики Беларусь от 13 июля 2000 г. N 1038 "О внесении изменения в Положение о лизинге на территории Республики Беларусь" (Национальный реестр правовых актов Республики Беларусь, 2000 г., N 69, 5/3609).</w:t>
      </w:r>
    </w:p>
    <w:p w:rsidR="00342095" w:rsidRDefault="00342095">
      <w:pPr>
        <w:pStyle w:val="ConsPlusNonformat"/>
        <w:widowControl/>
        <w:pBdr>
          <w:top w:val="single" w:sz="6" w:space="0" w:color="auto"/>
        </w:pBdr>
        <w:rPr>
          <w:sz w:val="2"/>
          <w:szCs w:val="2"/>
        </w:rPr>
      </w:pP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Пункт 3 вступил в силу со дня официального опубликования (абзац третий пункта 5 данного документа).</w:t>
      </w:r>
    </w:p>
    <w:p w:rsidR="00342095" w:rsidRDefault="00342095">
      <w:pPr>
        <w:pStyle w:val="ConsPlusNonformat"/>
        <w:widowControl/>
        <w:pBdr>
          <w:top w:val="single" w:sz="6" w:space="0" w:color="auto"/>
        </w:pBdr>
        <w:rPr>
          <w:sz w:val="2"/>
          <w:szCs w:val="2"/>
        </w:rPr>
      </w:pP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3. Министерству экономики, Министерству финансов, Министерству по налогам и сборам привести свои нормативные правовые акты в соответствие с настоящим постановлением и принять иные меры по его реализации.</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4. Министерству экономики разъяснять вопросы, связанные с применением настоящего постановления.</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5. Настоящее постановление:</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не распространяется на договоры лизинга, заключенные до вступления его в силу. Эти договоры действуют в течение указанного в них срока и не подлежат приведению в соответствие с требованиями данного постановления. По соглашению сторон договора лизинга, заключенного до вступления в силу настоящего постановления, к такому договору могут применяться положения настоящего постановления;</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вступает в силу с 1 июля 2010 г., за исключением пункта 3, вступающего в силу со дня официального опубликования настоящего постановления.</w:t>
      </w:r>
    </w:p>
    <w:p w:rsidR="00342095" w:rsidRDefault="00342095">
      <w:pPr>
        <w:autoSpaceDE w:val="0"/>
        <w:autoSpaceDN w:val="0"/>
        <w:adjustRightInd w:val="0"/>
        <w:spacing w:after="0" w:line="240" w:lineRule="auto"/>
        <w:ind w:firstLine="540"/>
        <w:jc w:val="both"/>
        <w:rPr>
          <w:rFonts w:ascii="Calibri" w:hAnsi="Calibri" w:cs="Calibri"/>
        </w:rPr>
      </w:pPr>
    </w:p>
    <w:p w:rsidR="00342095" w:rsidRDefault="00342095">
      <w:pPr>
        <w:autoSpaceDE w:val="0"/>
        <w:autoSpaceDN w:val="0"/>
        <w:adjustRightInd w:val="0"/>
        <w:spacing w:after="0" w:line="240" w:lineRule="auto"/>
        <w:rPr>
          <w:rFonts w:ascii="Calibri" w:hAnsi="Calibri" w:cs="Calibri"/>
        </w:rPr>
      </w:pPr>
      <w:r>
        <w:rPr>
          <w:rFonts w:ascii="Calibri" w:hAnsi="Calibri" w:cs="Calibri"/>
        </w:rPr>
        <w:t>Первый заместитель Премьер-министра </w:t>
      </w:r>
    </w:p>
    <w:p w:rsidR="00342095" w:rsidRDefault="00342095">
      <w:pPr>
        <w:autoSpaceDE w:val="0"/>
        <w:autoSpaceDN w:val="0"/>
        <w:adjustRightInd w:val="0"/>
        <w:spacing w:after="0" w:line="240" w:lineRule="auto"/>
        <w:jc w:val="both"/>
        <w:rPr>
          <w:rFonts w:ascii="Calibri" w:hAnsi="Calibri" w:cs="Calibri"/>
          <w:sz w:val="2"/>
          <w:szCs w:val="2"/>
        </w:rPr>
      </w:pPr>
      <w:r>
        <w:rPr>
          <w:rFonts w:ascii="Calibri" w:hAnsi="Calibri" w:cs="Calibri"/>
        </w:rPr>
        <w:t>Республики Беларусь В.Семашко</w:t>
      </w:r>
      <w:r>
        <w:rPr>
          <w:rFonts w:ascii="Calibri" w:hAnsi="Calibri" w:cs="Calibri"/>
        </w:rPr>
        <w:br/>
      </w:r>
      <w:r>
        <w:rPr>
          <w:rFonts w:ascii="Calibri" w:hAnsi="Calibri" w:cs="Calibri"/>
        </w:rPr>
        <w:br/>
      </w:r>
    </w:p>
    <w:p w:rsidR="00342095" w:rsidRDefault="00342095">
      <w:pPr>
        <w:autoSpaceDE w:val="0"/>
        <w:autoSpaceDN w:val="0"/>
        <w:adjustRightInd w:val="0"/>
        <w:spacing w:after="0" w:line="240" w:lineRule="auto"/>
        <w:ind w:firstLine="540"/>
        <w:jc w:val="both"/>
        <w:rPr>
          <w:rFonts w:ascii="Calibri" w:hAnsi="Calibri" w:cs="Calibri"/>
        </w:rPr>
      </w:pPr>
    </w:p>
    <w:p w:rsidR="00342095" w:rsidRDefault="00342095">
      <w:pPr>
        <w:autoSpaceDE w:val="0"/>
        <w:autoSpaceDN w:val="0"/>
        <w:adjustRightInd w:val="0"/>
        <w:spacing w:after="0" w:line="240" w:lineRule="auto"/>
        <w:ind w:firstLine="540"/>
        <w:jc w:val="both"/>
        <w:rPr>
          <w:rFonts w:ascii="Calibri" w:hAnsi="Calibri" w:cs="Calibri"/>
        </w:rPr>
      </w:pPr>
    </w:p>
    <w:p w:rsidR="00342095" w:rsidRDefault="00342095">
      <w:pPr>
        <w:autoSpaceDE w:val="0"/>
        <w:autoSpaceDN w:val="0"/>
        <w:adjustRightInd w:val="0"/>
        <w:spacing w:after="0" w:line="240" w:lineRule="auto"/>
        <w:ind w:firstLine="540"/>
        <w:jc w:val="both"/>
        <w:rPr>
          <w:rFonts w:ascii="Calibri" w:hAnsi="Calibri" w:cs="Calibri"/>
        </w:rPr>
      </w:pPr>
    </w:p>
    <w:p w:rsidR="00342095" w:rsidRDefault="00342095">
      <w:pPr>
        <w:autoSpaceDE w:val="0"/>
        <w:autoSpaceDN w:val="0"/>
        <w:adjustRightInd w:val="0"/>
        <w:spacing w:after="0" w:line="240" w:lineRule="auto"/>
        <w:ind w:firstLine="540"/>
        <w:jc w:val="both"/>
        <w:rPr>
          <w:rFonts w:ascii="Calibri" w:hAnsi="Calibri" w:cs="Calibri"/>
        </w:rPr>
      </w:pPr>
    </w:p>
    <w:p w:rsidR="00342095" w:rsidRDefault="00342095">
      <w:pPr>
        <w:autoSpaceDE w:val="0"/>
        <w:autoSpaceDN w:val="0"/>
        <w:adjustRightInd w:val="0"/>
        <w:spacing w:after="0" w:line="240" w:lineRule="auto"/>
        <w:ind w:firstLine="540"/>
        <w:jc w:val="both"/>
        <w:rPr>
          <w:rFonts w:ascii="Calibri" w:hAnsi="Calibri" w:cs="Calibri"/>
        </w:rPr>
      </w:pPr>
    </w:p>
    <w:p w:rsidR="00342095" w:rsidRDefault="00342095">
      <w:pPr>
        <w:pStyle w:val="ConsPlusNonformat"/>
        <w:widowControl/>
      </w:pPr>
      <w:r>
        <w:t xml:space="preserve">                                                        УТВЕРЖДЕНО</w:t>
      </w:r>
    </w:p>
    <w:p w:rsidR="00342095" w:rsidRDefault="00342095">
      <w:pPr>
        <w:pStyle w:val="ConsPlusNonformat"/>
        <w:widowControl/>
      </w:pPr>
      <w:r>
        <w:t xml:space="preserve">                                                        Постановление</w:t>
      </w:r>
    </w:p>
    <w:p w:rsidR="00342095" w:rsidRDefault="00342095">
      <w:pPr>
        <w:pStyle w:val="ConsPlusNonformat"/>
        <w:widowControl/>
      </w:pPr>
      <w:r>
        <w:t xml:space="preserve">                                                        Совета Министров</w:t>
      </w:r>
    </w:p>
    <w:p w:rsidR="00342095" w:rsidRDefault="00342095">
      <w:pPr>
        <w:pStyle w:val="ConsPlusNonformat"/>
        <w:widowControl/>
      </w:pPr>
      <w:r>
        <w:t xml:space="preserve">                                                        Республики Беларусь</w:t>
      </w:r>
    </w:p>
    <w:p w:rsidR="00342095" w:rsidRDefault="00342095">
      <w:pPr>
        <w:pStyle w:val="ConsPlusNonformat"/>
        <w:widowControl/>
      </w:pPr>
      <w:r>
        <w:t xml:space="preserve">                                                        04.06.2010 N 865</w:t>
      </w:r>
    </w:p>
    <w:p w:rsidR="00342095" w:rsidRDefault="00342095">
      <w:pPr>
        <w:autoSpaceDE w:val="0"/>
        <w:autoSpaceDN w:val="0"/>
        <w:adjustRightInd w:val="0"/>
        <w:spacing w:after="0" w:line="240" w:lineRule="auto"/>
        <w:ind w:firstLine="540"/>
        <w:jc w:val="both"/>
        <w:rPr>
          <w:rFonts w:ascii="Calibri" w:hAnsi="Calibri" w:cs="Calibri"/>
        </w:rPr>
      </w:pPr>
    </w:p>
    <w:p w:rsidR="00342095" w:rsidRDefault="00342095">
      <w:pPr>
        <w:pStyle w:val="ConsPlusTitle"/>
        <w:widowControl/>
        <w:jc w:val="center"/>
      </w:pPr>
      <w:r>
        <w:t>ПОЛОЖЕНИЕ</w:t>
      </w:r>
    </w:p>
    <w:p w:rsidR="00342095" w:rsidRDefault="00342095">
      <w:pPr>
        <w:pStyle w:val="ConsPlusTitle"/>
        <w:widowControl/>
        <w:jc w:val="center"/>
      </w:pPr>
      <w:r>
        <w:t>О ЛИЗИНГЕ</w:t>
      </w:r>
    </w:p>
    <w:p w:rsidR="00342095" w:rsidRDefault="00342095">
      <w:pPr>
        <w:autoSpaceDE w:val="0"/>
        <w:autoSpaceDN w:val="0"/>
        <w:adjustRightInd w:val="0"/>
        <w:spacing w:after="0" w:line="240" w:lineRule="auto"/>
        <w:ind w:firstLine="540"/>
        <w:jc w:val="both"/>
        <w:rPr>
          <w:rFonts w:ascii="Calibri" w:hAnsi="Calibri" w:cs="Calibri"/>
        </w:rPr>
      </w:pP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Настоящим Положением регулируются общие экономические и правовые условия и порядок осуществления деятельности по заключению, исполнению, прекращению действия договоров финансовой аренды (лизинга) (далее - договоры лизинга), в том числе хозяйственных операций в связи с исполнением этих договоров.</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Отношения по передаче имущества по договору лизинга регулируются Гражданским кодексом Республики Беларусь, настоящим Положением, если иное не установлено Президентом Республики Беларусь, иным законодательством, принятым в соответствии с ними.</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При установлении международным договором Республики Беларусь иных норм, чем те, которые содержатся в настоящем Положении, применяются положения международного договора.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2. Для целей настоящего Положения применяются следующие термины и определения:</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контрактная стоимость предмета договора лизинга (далее - предмет лизинга) - стоимость передаваемого в лизинг предмета, определяемая по согласованию между лизингодателем и лизингополучателем в целях расчета лизинговых платежей, осуществления и отражения хозяйственных операций при исполнении договора лизинга, отражаемая в первичных учетных документах и включающая в себя в том числе расходы лизингодателя, связанные с приобретением предмета лизинга (включая доставку, установку, монтаж предмета лизинга) и доведением его до состояния, в котором он пригоден к использованию лизингополучателем;</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срок лизинга - срок, на который предмет лизинга передается лизингополучателю во временное владение и пользование в соответствии с договором лизинга и который исчисляется с даты передачи предмета лизинга лизингополучателю и завершается датой его передачи в собственность лизингополучателя либо его возврата лизингодателю. Если предмет лизинга состоит из нескольких объектов, то дата передачи предмета лизинга или его составляющих определяется договором лизинга;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цена договора лизинга - совокупность лизинговых платежей, а также выкупной стоимости, если по условиям договора предусмотрен выкуп предмета лизинга.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3. В целях установления особенностей осуществления хозяйственных операций:</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лизинг, при котором лизинговые платежи в течение срока лизинга (не менее 1 года) обеспечивают возмещение лизингодателю не менее 75 процентов контрактной стоимости предмета лизинга независимо от того, будет ли сделка завершена выкупом предмета лизинга лизингополучателем или его возвратом лизингодателю, определяется как финансовый;</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лизинг, при котором лизинговые платежи в течение срока лизинга обеспечивают возмещение лизингодателю менее 75 процентов контрактной стоимости предмета лизинга и по истечении срока лизинга лизингополучатель возвращает лизингодателю предмет лизинга, определяется как оперативный.</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Лизингополучатель может выступить одновременно в пределах одного договора в качестве продавца имущества, передаваемого в лизинг (возвратный лизинг).</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С согласия лизингодателя лизингополучатель может передать третьему лицу во владение и пользование на определенный срок за плату имущество, полученное от лизингодателя по договору лизинга и составляющее предмет лизинга, заключив с третьим лицом (сублизингополучателем) договор сублизинга. При этом лизингополучатель по договору лизинга, приобретая по отношению к сублизингополучателю по договору сублизинга права лизингодателя в порядке и с учетом условий, установленных настоящим Положением и договором, не освобождается от предусмотренных договором лизинга обязательств и ответственности перед лизингодателем.</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К отношениям последующего предоставления лицом, являвшимся лизингодателем, в аренду имущества, переданного им ранее в лизинг и возвращенного ему (повторный лизинг), применяются нормы настоящего Положения, если иное не вытекает из этих отношений или не определено договором аренды.</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4. Существенными условиями договора лизинга являются:</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предмет лизинга (его наименование, количественные и иные характеристики, позволяющие определенно установить имущество, подлежащее передаче в лизинг);</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указание на сторону, осуществляющую выбор предмета лизинга и продавца;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контрактная стоимость предмета лизинга;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размер либо порядок определения размера, способ и периодичность уплаты лизинговых платежей в соответствии с условиями договора;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цена договора лизинга либо порядок ее определения;</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условие о сроке лизинга.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5. Помимо существенных условий, установленных законодательством для договора купли-продажи (поставки), дополнительным существенным условием договора купли-продажи (поставки) имущества, приобретаемого для последующей передачи в качестве предмета лизинга, является указание на то, что имущество приобретается для передачи в лизинг.</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6. Предмет лизинга, права на него и (или) договор лизинга, подлежащие государственной регистрации в соответствии с законодательством, регистрируются уполномоченной государственной организацией по заявлению лизингополучателя, если иное не предусмотрено договором лизинга. Если законодательством не установлено иное, при осуществлении государственной регистрации лизингополучатель указывается со ссылкой на соответствующий договор лизинга. При прекращении договора лизинга или возврате лизингодателю предмета лизинга лизингодатель обязан обратиться в указанные уполномоченные государственные организации с заявлением о внесении соответствующих изменений.</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7. Лизингодатель имеет право осуществления контроля за соблюдением лизингополучателем условий договора лизинга в части сохранности предмета лизинга и поддержания его в рабочем состоянии, а также право досрочного расторжения договора лизинга и возврата предмета лизинга, иные права в случаях и в порядке, предусмотренных законодательством или договором лизинга. Если иное не установлено договором, лизингополучатель несет все расходы, связанные с возвратом предмета лизинга лизингодателю, в том числе расходы на его демонтаж, транспортировку, а также возмещает иные убытки лизингодателя, связанные с расторжением договора.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8. Основанием для передачи имущества в сублизинг является согласие лизингодателя в письменной форме.</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Лизингодатель не может стать сублизингополучателем вследствие передачи лизингодателем прав на один и тот же предмет лизинга третьим лицам.</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9. Срок, на который предоставляется предмет лизинга во владение и пользование по договору сублизинга, не может превышать срок лизинга по договору лизинга.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Прекращение договора лизинга влечет одновременное прекращение договора сублизинга.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Лизингодатель имеет право осуществлять контроль за соблюдением сублизингополучателем условий договора лизинга, в том числе в части сохранности объекта лизинга и поддержания его в рабочем состоянии.</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Ограничения на использование предмета лизинга должны быть определены в договоре сублизинга.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Требование возврата предмета лизинга на основании договора лизинга влечет одновременное требование возврата предмета лизинга по договору сублизинга лизингодателю независимо от выполнения своих обязательств сублизингополучателем.</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Права сублизингополучателя не могут выходить за пределы прав лизингополучателя, а обязанности сублизингополучателя должны учитывать обязанности лизингополучателя.</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По договору сублизинга права требования к продавцу возникают также и у сублизингополучателя.</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10. Лизингодатель имеет право использовать предмет лизинга в качестве предмета залога в целях обеспечения исполнения обязательств только по кредитному договору (договору займа), заключенному для оплаты предмета лизинга, если иное не предусмотрено договором лизинга.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11. Риски и выгоды, связанные с передачей и владением предмета лизинга, переходят к лизингополучателю.</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Если договором лизинга не установлено иное, то риск:</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невыполнения продавцом обязанностей по договору купли-продажи предмета лизинга несет сторона, которая выбрала продавца;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несоответствия предмета лизинга целям использования этого предмета по договору лизинга и связанные с этим убытки несет сторона, которая выбрала предмет лизинга.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12. Ответственность за сохранность предмета лизинга, а также риски, связанные с гибелью, утратой, порчей, хищением, прочим выбытием предмета лизинга, поломкой предмета лизинга, допущенной при его монтаже или эксплуатации, иные имущественные риски с момента получения предмета лизинга несет лизингополучатель, если иное не предусмотрено договором лизинга.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Утрата предметом лизинга эксплуатационных характеристик после его передачи лизингополучателю не освобождает лизингополучателя от исполнения обязательств по договору лизинга.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13. Передача лизингодателем лизингополучателю предмета лизинга в лизинг оформляется актом приемки-передачи имущества, в собственность - актом передачи прав собственности на предмет лизинга.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14. Предмет лизинга в течение срока лизинга состоит на бухгалтерском учете как у лизингодателя, так и у лизингополучателя, если иное не установлено законодательством для банков-лизингодателей и (или) банков-лизингополучателей, а по договорам международного лизинга - в обязательном порядке на бухгалтерском учете у лизингодателя.</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15. Амортизацию предмета лизинга осуществляет сторона (лизингодатель или лизингополучатель), у которой по условиям договора лизинга предмет лизинга учитывается на балансе в составе активов.</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Величина и порядок начисления амортизации предмета лизинга устанавливаются согласно договору лизинга по согласованию между лизингодателем и лизингополучателем в соответствии с законодательством. Сумма начисленной амортизации не должна превышать разницу между контрактной стоимостью предмета лизинга и его выкупной стоимостью.</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16. Стоимость предмета лизинга, по которой он принят лизингополучателем в эксплуатацию, не подлежит изменению, кроме случаев, установленных законодательством.</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17. Лизинговые платежи включают в себя суммы:</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17.1. вознаграждения (дохода) лизингодателя. По соглашению сторон договора лизинга данное вознаграждение (доход) может быть определено в виде денежной суммы либо процентной ставки;</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17.2. полностью или частично (если договором лизинга предусмотрен выкуп предмета лизинга либо договор лизинга прекращен досрочно) возмещающие расходы лизингодателя на: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17.2.1. приобретение предмета лизинга, осуществление действий, непосредственно связанных с изготовлением, доведением (доработкой) его до состояния, пригодного к использованию в соответствии с договором лизинга, и передачей его лизингополучателю, включая в том числе:</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таможенные платежи;</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разницы от переоценки кредиторской задолженности по обязательствам, связанным с приобретением предмета лизинга за иностранную валюту, дебиторской задолженности по выданным авансам, связанным с приобретением предмета лизинга за иностранную валюту (курсовые разницы);</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разницы по дебиторской задолженности, возникающие при расчетах по обязательствам, связанным с приобретением предметов лизинга в случаях, когда оплата осуществляется в белорусских рублях в сумме, эквивалентной определенной договором сумме в иностранной валюте (условных денежных единицах), разницы в иностранной валюте, возникающие при расчетах по обязательствам, выраженным в иностранной валюте, размер которых определяется исходя из эквивалента иной иностранной валюты или условной денежной единицы (суммовые разницы);</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расходы на: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погрузочно-разгрузочные работы, доставку и страхование при перевозке и поставке предмета лизинга;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установку, монтаж, а также строительство необходимых для применения предмета лизинга конструкций (сооружений);</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покупку валюты для расчетов по обязательствам, связанным с приобретением предмета лизинга, в том числе сумму разницы между курсом покупки и курсом Национального банка на момент покупки до ввода (передачи) предмета лизинга в эксплуатацию;</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17.2.2. выплату процентов, комиссионных и иных платежей по:</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кредитному договору (договору займа), заключенному в целях финансирования приобретения предмета лизинга до и после его передачи в лизинг;</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аккредитиву до и после передачи предмета в лизинг;</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17.2.3. выпуск ценных бумаг, эмитированных в целях финансирования приобретения предмета лизинга, и выплату доходов (процентов) по ним до и после его передачи в лизинг;</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17.2.4. привлечение гарантии для обеспечения обязательств лизингодателя, если такая гарантия предоставлялась;</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17.2.5. уплату налогов, сборов (пошлин) и иных обязательных платежей в республиканский или местные бюджеты, в том числе в государственные целевые бюджетные фонды и внебюджетные фонды, начисляемых на предмет лизинга и на земельный участок, занятый предметом лизинга;</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17.2.6. все виды страхования предмета лизинга, риска неуплаты лизинговых платежей и других рисков, возникающих при исполнении договора лизинга, а также при государственной регистрации предмета лизинга (прав на него) и (или) договора лизинга, если страхование и (или) регистрацию осуществляет лизингодатель;</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17.2.7. текущий и (или) капитальный ремонт предмета лизинга, а также расходы, связанные с изменениями предмета лизинга в соответствии с договором лизинга, если этот ремонт или иные работы по изменению предмета лизинга в соответствии с договором лизинга осуществляет лизингодатель;</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17.2.8. покупку валюты для расчетов по обязательствам, связанным с приобретением предмета лизинга, в том числе сумму разницы между курсом покупки и курсом Национального банка на момент покупки после ввода (передачи) предмета лизинга в эксплуатацию.</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18. Лизинговые платежи, а также расходы лизингодателя, не включенные в состав лизинговых платежей, но подлежащие возмещению в соответствии с условиями договора лизинга, являются расходами лизингополучателя, связанными с производством и (или) реализацией продукции, товаров (работ, услуг), имущественных прав.</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19. Уплачиваемый лизингополучателем до начала срока лизинга платеж (авансовый платеж) засчитывается в счет уплаты первого и (или) последующих платежей на протяжении срока лизинга и не должен превышать 40 процентов контрактной стоимости предмета лизинга с учетом налога на добавленную стоимость.</w:t>
      </w:r>
    </w:p>
    <w:p w:rsidR="00342095" w:rsidRDefault="00342095">
      <w:pPr>
        <w:autoSpaceDE w:val="0"/>
        <w:autoSpaceDN w:val="0"/>
        <w:adjustRightInd w:val="0"/>
        <w:spacing w:after="0" w:line="240" w:lineRule="auto"/>
        <w:ind w:firstLine="540"/>
        <w:jc w:val="both"/>
        <w:rPr>
          <w:rFonts w:ascii="Calibri" w:hAnsi="Calibri" w:cs="Calibri"/>
        </w:rPr>
      </w:pPr>
      <w:r>
        <w:rPr>
          <w:rFonts w:ascii="Calibri" w:hAnsi="Calibri" w:cs="Calibri"/>
        </w:rPr>
        <w:t>20. Лизингодатель вправе предусмотреть в договоре лизинга или в ином договоре, предусматривающем выкуп предмета лизинга, условие о том, что переход права собственности производится после уплаты лизингополучателем неустойки и исполнения им прочих обязательств, установленных договором лизинга.</w:t>
      </w:r>
    </w:p>
    <w:p w:rsidR="00342095" w:rsidRDefault="00342095">
      <w:pPr>
        <w:autoSpaceDE w:val="0"/>
        <w:autoSpaceDN w:val="0"/>
        <w:adjustRightInd w:val="0"/>
        <w:spacing w:after="0" w:line="240" w:lineRule="auto"/>
        <w:jc w:val="both"/>
        <w:rPr>
          <w:rFonts w:ascii="Calibri" w:hAnsi="Calibri" w:cs="Calibri"/>
        </w:rPr>
      </w:pPr>
    </w:p>
    <w:p w:rsidR="00342095" w:rsidRDefault="00342095">
      <w:pPr>
        <w:autoSpaceDE w:val="0"/>
        <w:autoSpaceDN w:val="0"/>
        <w:adjustRightInd w:val="0"/>
        <w:spacing w:after="0" w:line="240" w:lineRule="auto"/>
        <w:jc w:val="both"/>
        <w:rPr>
          <w:rFonts w:ascii="Calibri" w:hAnsi="Calibri" w:cs="Calibri"/>
        </w:rPr>
      </w:pPr>
    </w:p>
    <w:p w:rsidR="00342095" w:rsidRDefault="00342095">
      <w:pPr>
        <w:pStyle w:val="ConsPlusNonformat"/>
        <w:widowControl/>
        <w:pBdr>
          <w:top w:val="single" w:sz="6" w:space="0" w:color="auto"/>
        </w:pBdr>
        <w:rPr>
          <w:sz w:val="2"/>
          <w:szCs w:val="2"/>
        </w:rPr>
      </w:pPr>
    </w:p>
    <w:p w:rsidR="00EB30AB" w:rsidRDefault="00EB30AB"/>
    <w:sectPr w:rsidR="00EB30AB" w:rsidSect="00AD22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342095"/>
    <w:rsid w:val="00342095"/>
    <w:rsid w:val="00EB30A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0A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4209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342095"/>
    <w:pPr>
      <w:widowControl w:val="0"/>
      <w:autoSpaceDE w:val="0"/>
      <w:autoSpaceDN w:val="0"/>
      <w:adjustRightInd w:val="0"/>
      <w:spacing w:after="0" w:line="240" w:lineRule="auto"/>
    </w:pPr>
    <w:rPr>
      <w:rFonts w:ascii="Calibri" w:eastAsiaTheme="minorEastAsia" w:hAnsi="Calibri" w:cs="Calibri"/>
      <w:b/>
      <w:bCs/>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2443</Words>
  <Characters>13931</Characters>
  <Application>Microsoft Office Word</Application>
  <DocSecurity>0</DocSecurity>
  <Lines>116</Lines>
  <Paragraphs>32</Paragraphs>
  <ScaleCrop>false</ScaleCrop>
  <Company>Reanimator Extreme Edition</Company>
  <LinksUpToDate>false</LinksUpToDate>
  <CharactersWithSpaces>16342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2010-10-22T11:35:00Z</dcterms:created>
  <dcterms:modified xsi:type="dcterms:W3CDTF">2010-10-22T11:36:00Z</dcterms:modified>
</cp:coreProperties>
</file>